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000000" w:sz="0" w:space="0"/>
          <w:left w:val="none" w:color="000000" w:sz="0" w:space="15"/>
          <w:bottom w:val="none" w:color="000000" w:sz="0" w:space="5"/>
          <w:right w:val="none" w:color="000000" w:sz="0" w:space="0"/>
        </w:pBdr>
        <w:autoSpaceDN w:val="0"/>
        <w:spacing w:line="360" w:lineRule="atLeast"/>
        <w:jc w:val="center"/>
        <w:rPr>
          <w:rFonts w:asciiTheme="minorEastAsia" w:hAnsiTheme="minorEastAsia" w:eastAsiaTheme="minorEastAsia" w:cstheme="minorEastAsia"/>
          <w:b/>
          <w:bCs/>
          <w:color w:val="333333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0"/>
          <w:szCs w:val="40"/>
        </w:rPr>
        <w:t>投保须知</w:t>
      </w:r>
    </w:p>
    <w:p>
      <w:pPr>
        <w:pBdr>
          <w:top w:val="none" w:color="000000" w:sz="0" w:space="0"/>
          <w:left w:val="none" w:color="000000" w:sz="0" w:space="15"/>
          <w:bottom w:val="none" w:color="000000" w:sz="0" w:space="5"/>
          <w:right w:val="none" w:color="000000" w:sz="0" w:space="0"/>
        </w:pBdr>
        <w:autoSpaceDN w:val="0"/>
        <w:spacing w:line="360" w:lineRule="atLeast"/>
        <w:jc w:val="center"/>
        <w:rPr>
          <w:rFonts w:asciiTheme="minorEastAsia" w:hAnsiTheme="minorEastAsia" w:eastAsiaTheme="minorEastAsia" w:cstheme="minorEastAsia"/>
          <w:bCs/>
          <w:color w:val="333333"/>
          <w:sz w:val="26"/>
          <w:szCs w:val="26"/>
        </w:rPr>
      </w:pPr>
    </w:p>
    <w:p>
      <w:pPr>
        <w:pStyle w:val="16"/>
        <w:widowControl/>
        <w:numPr>
          <w:ilvl w:val="0"/>
          <w:numId w:val="0"/>
        </w:numPr>
        <w:ind w:leftChars="95"/>
        <w:jc w:val="both"/>
        <w:rPr>
          <w:rFonts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本产品由昆仑健康保险股份有限公司公司承保。</w:t>
      </w:r>
    </w:p>
    <w:p>
      <w:pPr>
        <w:pStyle w:val="16"/>
        <w:widowControl/>
        <w:numPr>
          <w:ilvl w:val="0"/>
          <w:numId w:val="0"/>
        </w:numPr>
        <w:ind w:leftChars="95"/>
        <w:jc w:val="both"/>
        <w:rPr>
          <w:rFonts w:cs="仿宋_GB2312" w:asciiTheme="minorEastAsia" w:hAnsiTheme="minorEastAsia" w:eastAsiaTheme="minorEastAsia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本产品承保年龄为</w:t>
      </w:r>
      <w:r>
        <w:rPr>
          <w:rFonts w:hint="eastAsia" w:cs="仿宋_GB2312" w:asciiTheme="minorEastAsia" w:hAnsiTheme="minorEastAsia" w:eastAsiaTheme="minorEastAsia"/>
          <w:sz w:val="26"/>
          <w:szCs w:val="26"/>
        </w:rPr>
        <w:t>出生满28日至</w:t>
      </w:r>
      <w:r>
        <w:rPr>
          <w:rFonts w:hint="eastAsia" w:cs="仿宋_GB2312" w:asciiTheme="minorEastAsia" w:hAnsiTheme="minorEastAsia" w:eastAsiaTheme="minorEastAsia"/>
          <w:sz w:val="26"/>
          <w:szCs w:val="26"/>
          <w:lang w:val="en-US" w:eastAsia="zh-CN"/>
        </w:rPr>
        <w:t>45</w:t>
      </w:r>
      <w:r>
        <w:rPr>
          <w:rFonts w:hint="eastAsia" w:cs="仿宋_GB2312" w:asciiTheme="minorEastAsia" w:hAnsiTheme="minorEastAsia" w:eastAsiaTheme="minorEastAsia"/>
          <w:sz w:val="26"/>
          <w:szCs w:val="26"/>
        </w:rPr>
        <w:t>周岁之间（含28日和</w:t>
      </w:r>
      <w:r>
        <w:rPr>
          <w:rFonts w:hint="eastAsia" w:cs="仿宋_GB2312" w:asciiTheme="minorEastAsia" w:hAnsiTheme="minorEastAsia" w:eastAsiaTheme="minorEastAsia"/>
          <w:sz w:val="26"/>
          <w:szCs w:val="26"/>
          <w:lang w:val="en-US" w:eastAsia="zh-CN"/>
        </w:rPr>
        <w:t>45</w:t>
      </w:r>
      <w:r>
        <w:rPr>
          <w:rFonts w:hint="eastAsia" w:cs="仿宋_GB2312" w:asciiTheme="minorEastAsia" w:hAnsiTheme="minorEastAsia" w:eastAsiaTheme="minorEastAsia"/>
          <w:sz w:val="26"/>
          <w:szCs w:val="26"/>
        </w:rPr>
        <w:t>周岁）。</w:t>
      </w:r>
    </w:p>
    <w:p>
      <w:pPr>
        <w:pStyle w:val="16"/>
        <w:widowControl/>
        <w:numPr>
          <w:ilvl w:val="0"/>
          <w:numId w:val="0"/>
        </w:numPr>
        <w:ind w:leftChars="95"/>
        <w:jc w:val="both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保险期间为终身，投保本险种最低基本保险金额30万元；保险期间为保至70周岁，投保本险种最低基本保险金额40万元。累计最高基本保险金额17周岁（含）以下限50万元，18—40周岁限60万元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41—45周岁限50万元。</w:t>
      </w:r>
    </w:p>
    <w:p>
      <w:pPr>
        <w:pStyle w:val="16"/>
        <w:widowControl/>
        <w:numPr>
          <w:ilvl w:val="0"/>
          <w:numId w:val="0"/>
        </w:numPr>
        <w:ind w:leftChars="95"/>
        <w:jc w:val="both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责任免除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、保险责任、犹豫期、宽限期、费用扣除、退保、保险单现金价值、投保人、被保人义务等内容详见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保险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条款，请务必仔细阅读《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保险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条款》及电子保单的约定。</w:t>
      </w:r>
    </w:p>
    <w:p>
      <w:pPr>
        <w:pStyle w:val="16"/>
        <w:widowControl/>
        <w:numPr>
          <w:ilvl w:val="0"/>
          <w:numId w:val="0"/>
        </w:numPr>
        <w:ind w:leftChars="95"/>
        <w:jc w:val="both"/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sz w:val="26"/>
          <w:szCs w:val="26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Cs/>
          <w:color w:val="333333"/>
          <w:sz w:val="26"/>
          <w:szCs w:val="26"/>
        </w:rPr>
        <w:t>保单承保后，后续保全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333333"/>
          <w:sz w:val="26"/>
          <w:szCs w:val="26"/>
        </w:rPr>
        <w:t>理赔等相关事务均可致电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昆仑健康保险股份有限公司全国统一</w:t>
      </w:r>
      <w:r>
        <w:rPr>
          <w:rFonts w:hint="eastAsia" w:asciiTheme="minorEastAsia" w:hAnsiTheme="minorEastAsia" w:eastAsiaTheme="minorEastAsia" w:cstheme="minorEastAsia"/>
          <w:bCs/>
          <w:color w:val="333333"/>
          <w:sz w:val="26"/>
          <w:szCs w:val="26"/>
        </w:rPr>
        <w:t>客服热线400-811-8899。</w:t>
      </w:r>
    </w:p>
    <w:p>
      <w:pPr>
        <w:pStyle w:val="16"/>
        <w:widowControl/>
        <w:numPr>
          <w:ilvl w:val="0"/>
          <w:numId w:val="0"/>
        </w:numPr>
        <w:ind w:leftChars="95"/>
        <w:jc w:val="both"/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  <w:lang w:eastAsia="zh-CN"/>
        </w:rPr>
        <w:t>出于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</w:rPr>
        <w:t>保险服务的需要，本人同意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  <w:lang w:eastAsia="zh-CN"/>
        </w:rPr>
        <w:t>昆仑健康保险股份有限公司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</w:rPr>
        <w:t>可通过知悉本人信息的机构查询与本人有关的全部信息（包括但不限于投保、承保、理赔、医疗信息等）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  <w:lang w:eastAsia="zh-CN"/>
        </w:rPr>
        <w:t>；昆仑健康保险股份有限公司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</w:rPr>
        <w:t>及与其具有必要合作关系的机构均可对上述信息进行合理的使用。为确保信息安全，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  <w:lang w:eastAsia="zh-CN"/>
        </w:rPr>
        <w:t>昆仑健康保险股份有限公司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6"/>
          <w:szCs w:val="26"/>
        </w:rPr>
        <w:t>及其合作机构应采取有效措施并承担保密义务。</w:t>
      </w:r>
    </w:p>
    <w:p>
      <w:pPr>
        <w:pStyle w:val="16"/>
        <w:widowControl/>
        <w:ind w:left="560" w:firstLine="0" w:firstLineChars="0"/>
        <w:jc w:val="left"/>
        <w:rPr>
          <w:rFonts w:asciiTheme="minorEastAsia" w:hAnsiTheme="minorEastAsia" w:eastAsiaTheme="minorEastAsia" w:cstheme="minorEastAsia"/>
          <w:kern w:val="0"/>
          <w:sz w:val="26"/>
          <w:szCs w:val="26"/>
        </w:rPr>
      </w:pPr>
    </w:p>
    <w:p>
      <w:pPr>
        <w:pStyle w:val="16"/>
        <w:widowControl/>
        <w:ind w:left="560" w:firstLine="0" w:firstLineChars="0"/>
        <w:jc w:val="left"/>
        <w:rPr>
          <w:rFonts w:asciiTheme="minorEastAsia" w:hAnsiTheme="minorEastAsia" w:eastAsiaTheme="minorEastAsia" w:cstheme="minorEastAsia"/>
          <w:kern w:val="0"/>
          <w:sz w:val="26"/>
          <w:szCs w:val="26"/>
        </w:rPr>
      </w:pPr>
    </w:p>
    <w:p>
      <w:pPr>
        <w:pStyle w:val="16"/>
        <w:widowControl/>
        <w:ind w:left="0" w:leftChars="0" w:firstLine="0" w:firstLineChars="0"/>
        <w:jc w:val="left"/>
        <w:rPr>
          <w:rFonts w:asciiTheme="minorEastAsia" w:hAnsiTheme="minorEastAsia" w:eastAsiaTheme="minorEastAsia" w:cstheme="minorEastAsia"/>
          <w:kern w:val="0"/>
          <w:sz w:val="26"/>
          <w:szCs w:val="26"/>
        </w:rPr>
      </w:pPr>
    </w:p>
    <w:p>
      <w:pPr>
        <w:pStyle w:val="16"/>
        <w:widowControl/>
        <w:ind w:left="560" w:firstLine="0" w:firstLineChars="0"/>
        <w:jc w:val="left"/>
        <w:rPr>
          <w:rFonts w:asciiTheme="minorEastAsia" w:hAnsiTheme="minorEastAsia" w:eastAsiaTheme="minorEastAsia" w:cstheme="minorEastAsia"/>
          <w:kern w:val="0"/>
          <w:sz w:val="26"/>
          <w:szCs w:val="26"/>
        </w:rPr>
      </w:pPr>
    </w:p>
    <w:p>
      <w:pPr>
        <w:pStyle w:val="16"/>
        <w:widowControl/>
        <w:ind w:left="0" w:leftChars="0" w:firstLine="0" w:firstLineChars="0"/>
        <w:jc w:val="left"/>
        <w:rPr>
          <w:rFonts w:asciiTheme="minorEastAsia" w:hAnsiTheme="minorEastAsia" w:eastAsiaTheme="minorEastAsia" w:cstheme="minorEastAsia"/>
          <w:kern w:val="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15"/>
          <w:bottom w:val="none" w:color="000000" w:sz="0" w:space="5"/>
          <w:right w:val="none" w:color="000000" w:sz="0" w:space="0"/>
        </w:pBdr>
        <w:autoSpaceDN w:val="0"/>
        <w:spacing w:line="360" w:lineRule="atLeast"/>
        <w:jc w:val="center"/>
        <w:rPr>
          <w:rFonts w:asciiTheme="minorEastAsia" w:hAnsiTheme="minorEastAsia" w:eastAsiaTheme="minorEastAsia" w:cstheme="minorEastAsia"/>
          <w:b/>
          <w:bCs/>
          <w:color w:val="333333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0"/>
          <w:szCs w:val="40"/>
        </w:rPr>
        <w:t>重要告知</w:t>
      </w:r>
    </w:p>
    <w:p>
      <w:pPr>
        <w:pBdr>
          <w:top w:val="none" w:color="000000" w:sz="0" w:space="0"/>
          <w:left w:val="none" w:color="000000" w:sz="0" w:space="15"/>
          <w:bottom w:val="none" w:color="000000" w:sz="0" w:space="5"/>
          <w:right w:val="none" w:color="000000" w:sz="0" w:space="0"/>
        </w:pBdr>
        <w:autoSpaceDN w:val="0"/>
        <w:spacing w:line="360" w:lineRule="atLeast"/>
        <w:jc w:val="center"/>
        <w:rPr>
          <w:rFonts w:asciiTheme="minorEastAsia" w:hAnsiTheme="minorEastAsia" w:eastAsiaTheme="minorEastAsia" w:cstheme="minorEastAsia"/>
          <w:bCs/>
          <w:color w:val="333333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/>
        <w:jc w:val="both"/>
        <w:textAlignment w:val="auto"/>
        <w:rPr>
          <w:rFonts w:hint="eastAsia" w:asciiTheme="minorEastAsia" w:hAnsiTheme="minorEastAsia" w:eastAsiaTheme="minorEastAsia" w:cstheme="minorEastAsia"/>
          <w:sz w:val="26"/>
          <w:szCs w:val="26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1、请认真阅读所投险种的保险条款、人身险投保提示书，并在充分理解保险条款全部内容的基础上，尤其注意其中的犹豫期条款、保险责任条款、免除保险人责任的条款、合同解除条款等内容后，做出投保决定。了解并接受包括有关责任条款及免除责任条款、承保地域限制、费用扣除、退保、保单现金价值、投保人、被保险人的权利和义务及线上服务协议的约定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6"/>
          <w:szCs w:val="26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选择分期缴纳保险费，需根据自身的财务状况，选择合适的缴费期限和缴费金额，无法持续缴纳保险费可能导致保险合同效力中止或保险合同解除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昆仑健康保险股份有限公司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6"/>
          <w:szCs w:val="26"/>
        </w:rPr>
        <w:t>北京、上海、浙江、山东、广东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有分支机构，本产品可在设有分支机构的地区购买。您可以通过中介机构或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昆仑健康保险股份有限公司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客服热线享受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保险服务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昆仑健康保险股份有限公司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将通过投保单中填写的信息为您提供包括但不限于计算保费、核保、寄送信函和客户回访等服务，并承诺未经您同意，不会将您在本投保单中填写的客户信息用于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昆仑健康保险股份有限公司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和第三方机构的销售活动。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/>
        <w:jc w:val="both"/>
        <w:textAlignment w:val="auto"/>
        <w:rPr>
          <w:rFonts w:asciiTheme="minorEastAsia" w:hAnsiTheme="minorEastAsia" w:eastAsiaTheme="minorEastAsia" w:cstheme="minorEastAsia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4、所有在线投保产品统一签发电子保单，电子保单与纸质保单具有同等法律效力。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218" w:leftChars="104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5、为了提高客户服务质量，保护保险消费者的合法权益，中国银保监会制定了《人身保险客户信息真实性管理暂行办法》（保监发【2013】82号），请您填写准确完整的投/被保险人/指定受益人的信息</w:t>
      </w: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订立本合同时，保险公司应当向投保人说明本合同内容。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对保险条款中免除保险公司责任的条款，保险公司在订立合同时应当在投保单、保险单或者其他保险凭证上作出足以引起投保人注意的提示，并对该条款的内容以书面或者口头形式向投保人作出明确说明，未作提示或者明确说明的，该条款不产生效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保险公司就投保人和被保险人的有关情况提出书面询问，投保人应当如实告知。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投保人故意或者因重大过失未履行如实告知义务，足以影响保险公司决定是否同意承保或提高保险费率的，保险公司有权解除本合同。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投保人故意不履行如实告知义务的，对于本合同解除前发生的保险事故，保险公司不承担给付保险金和豁免保险费的责任，并不退还保险费。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投保人因重大过失未履行如实告知义务，对保险事故的发生有严重影响的，对于本合同解除前发生的保险事故，保险公司不承担给付保险金和豁免保险费的责任，但会无息退还保险费。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保险公司在合同订立时已经知道投保人未如实告知的情况的，保险公司不得解除合同；发生保险事故的，保险公司承担给付保险金和豁免保险费的责任。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val="en-US" w:eastAsia="zh-CN"/>
        </w:rPr>
        <w:t xml:space="preserve">6、特别注意投保人联系电话、联系地址、电子邮箱等联系信息请填写本人的联系方式。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E1DDA"/>
    <w:multiLevelType w:val="singleLevel"/>
    <w:tmpl w:val="5CFE1DD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5573"/>
    <w:rsid w:val="0000085C"/>
    <w:rsid w:val="00050332"/>
    <w:rsid w:val="000549E9"/>
    <w:rsid w:val="00157BC7"/>
    <w:rsid w:val="001A0A1C"/>
    <w:rsid w:val="002B550D"/>
    <w:rsid w:val="002D7BCE"/>
    <w:rsid w:val="00332511"/>
    <w:rsid w:val="00386323"/>
    <w:rsid w:val="005D1E09"/>
    <w:rsid w:val="00671125"/>
    <w:rsid w:val="0077590B"/>
    <w:rsid w:val="007F388F"/>
    <w:rsid w:val="007F73DC"/>
    <w:rsid w:val="008914E3"/>
    <w:rsid w:val="008A5D8F"/>
    <w:rsid w:val="009B3C81"/>
    <w:rsid w:val="009B6E0E"/>
    <w:rsid w:val="00A236AD"/>
    <w:rsid w:val="00CE3BA1"/>
    <w:rsid w:val="00D133AD"/>
    <w:rsid w:val="00E56C38"/>
    <w:rsid w:val="00EC55B6"/>
    <w:rsid w:val="00FA411B"/>
    <w:rsid w:val="023A48B2"/>
    <w:rsid w:val="049B1BAD"/>
    <w:rsid w:val="0570021F"/>
    <w:rsid w:val="07E85573"/>
    <w:rsid w:val="0A433722"/>
    <w:rsid w:val="0C414543"/>
    <w:rsid w:val="114600EA"/>
    <w:rsid w:val="28ED1936"/>
    <w:rsid w:val="295C52F2"/>
    <w:rsid w:val="2E6F227F"/>
    <w:rsid w:val="2EAA40A2"/>
    <w:rsid w:val="314E4358"/>
    <w:rsid w:val="318001C5"/>
    <w:rsid w:val="363E1D8D"/>
    <w:rsid w:val="40432559"/>
    <w:rsid w:val="40567148"/>
    <w:rsid w:val="406712FD"/>
    <w:rsid w:val="4E4A55AA"/>
    <w:rsid w:val="536D44E6"/>
    <w:rsid w:val="54333F5B"/>
    <w:rsid w:val="548F639C"/>
    <w:rsid w:val="59235193"/>
    <w:rsid w:val="5C013CC2"/>
    <w:rsid w:val="5CFA65F6"/>
    <w:rsid w:val="6CC63158"/>
    <w:rsid w:val="72D52F23"/>
    <w:rsid w:val="7C2A15DE"/>
    <w:rsid w:val="7D7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  <w:szCs w:val="22"/>
    </w:rPr>
  </w:style>
  <w:style w:type="character" w:customStyle="1" w:styleId="15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215</TotalTime>
  <ScaleCrop>false</ScaleCrop>
  <LinksUpToDate>false</LinksUpToDate>
  <CharactersWithSpaces>770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2018-01-27T04:51:00Z</dcterms:created>
  <dc:creator>zhouxinxin</dc:creator>
  <cp:lastModifiedBy>Ari</cp:lastModifiedBy>
  <cp:lastPrinted>2019-03-01T03:39:00Z</cp:lastPrinted>
  <dcterms:modified xsi:type="dcterms:W3CDTF">2021-04-01T08:30:34Z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15739D3FC924484889A65E68B7C5C1AF</vt:lpwstr>
  </property>
</Properties>
</file>