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adjustRightInd/>
        <w:snapToGrid/>
        <w:spacing w:after="0"/>
        <w:ind w:firstLine="0" w:firstLineChars="0"/>
        <w:jc w:val="center"/>
        <w:rPr>
          <w:rFonts w:ascii="宋体" w:hAnsi="宋体" w:eastAsia="宋体"/>
          <w:b/>
          <w:sz w:val="44"/>
          <w:szCs w:val="44"/>
          <w:lang w:val="zh-CN"/>
        </w:rPr>
      </w:pPr>
      <w:bookmarkStart w:id="0" w:name="_GoBack"/>
      <w:bookmarkEnd w:id="0"/>
      <w:r>
        <w:rPr>
          <w:rFonts w:hint="eastAsia" w:ascii="宋体" w:hAnsi="宋体" w:eastAsia="宋体"/>
          <w:b/>
          <w:sz w:val="44"/>
          <w:szCs w:val="44"/>
          <w:lang w:val="zh-CN"/>
        </w:rPr>
        <w:t>中国人寿财产保险股份有限公司</w:t>
      </w:r>
    </w:p>
    <w:p>
      <w:pPr>
        <w:pStyle w:val="20"/>
        <w:adjustRightInd/>
        <w:snapToGrid/>
        <w:spacing w:after="0"/>
        <w:ind w:firstLine="0" w:firstLineChars="0"/>
        <w:jc w:val="center"/>
        <w:rPr>
          <w:rFonts w:ascii="宋体" w:hAnsi="宋体" w:eastAsia="宋体"/>
          <w:sz w:val="44"/>
          <w:szCs w:val="44"/>
        </w:rPr>
      </w:pPr>
      <w:r>
        <w:rPr>
          <w:rFonts w:hint="eastAsia" w:ascii="宋体" w:hAnsi="宋体" w:eastAsia="宋体"/>
          <w:b/>
          <w:sz w:val="44"/>
          <w:szCs w:val="44"/>
          <w:lang w:val="zh-CN"/>
        </w:rPr>
        <w:t>意外伤害保险（互联网专属）附加猝死身故保险条款</w:t>
      </w:r>
    </w:p>
    <w:p>
      <w:pPr>
        <w:bidi w:val="0"/>
        <w:ind w:left="0" w:right="0" w:firstLine="0" w:firstLineChars="0"/>
        <w:jc w:val="center"/>
        <w:rPr>
          <w:rFonts w:hint="eastAsia" w:ascii="宋体" w:hAnsi="宋体" w:eastAsia="宋体" w:cs="宋体"/>
          <w:b/>
          <w:sz w:val="32"/>
          <w:lang w:eastAsia="zh-CN"/>
        </w:rPr>
      </w:pPr>
      <w:r>
        <w:rPr>
          <w:rFonts w:hint="eastAsia" w:ascii="宋体" w:hAnsi="宋体" w:eastAsia="宋体" w:cs="宋体"/>
          <w:b/>
          <w:sz w:val="32"/>
          <w:lang w:eastAsia="zh-CN"/>
        </w:rPr>
        <w:t>（注册编号：C00010832322022012701591）</w:t>
      </w:r>
    </w:p>
    <w:p>
      <w:pPr>
        <w:bidi w:val="0"/>
        <w:ind w:firstLine="964" w:firstLineChars="0"/>
        <w:rPr>
          <w:rFonts w:hint="eastAsia" w:ascii="宋体" w:hAnsi="宋体" w:eastAsia="宋体" w:cs="宋体"/>
          <w:b/>
          <w:sz w:val="32"/>
          <w:lang w:eastAsia="zh-CN"/>
        </w:rPr>
      </w:pPr>
    </w:p>
    <w:p>
      <w:pPr>
        <w:pStyle w:val="3"/>
        <w:tabs>
          <w:tab w:val="left" w:pos="8280"/>
        </w:tabs>
        <w:spacing w:line="560" w:lineRule="exact"/>
        <w:jc w:val="center"/>
        <w:rPr>
          <w:rFonts w:ascii="仿宋" w:hAnsi="仿宋" w:eastAsia="仿宋"/>
          <w:b/>
          <w:bCs/>
          <w:sz w:val="32"/>
          <w:szCs w:val="32"/>
        </w:rPr>
      </w:pPr>
      <w:r>
        <w:rPr>
          <w:rFonts w:hint="eastAsia" w:ascii="仿宋" w:hAnsi="仿宋" w:eastAsia="仿宋"/>
          <w:b/>
          <w:bCs/>
          <w:sz w:val="32"/>
          <w:szCs w:val="32"/>
        </w:rPr>
        <w:t>总则</w:t>
      </w:r>
    </w:p>
    <w:p>
      <w:pPr>
        <w:pStyle w:val="3"/>
        <w:tabs>
          <w:tab w:val="left" w:pos="8280"/>
        </w:tabs>
        <w:spacing w:line="560" w:lineRule="exact"/>
        <w:ind w:firstLine="643" w:firstLineChars="200"/>
        <w:rPr>
          <w:rFonts w:ascii="仿宋" w:hAnsi="仿宋" w:eastAsia="仿宋"/>
          <w:bCs/>
          <w:sz w:val="32"/>
          <w:szCs w:val="32"/>
        </w:rPr>
      </w:pPr>
      <w:r>
        <w:rPr>
          <w:rFonts w:hint="eastAsia" w:ascii="仿宋" w:hAnsi="仿宋" w:eastAsia="仿宋"/>
          <w:b/>
          <w:bCs/>
          <w:sz w:val="32"/>
          <w:szCs w:val="32"/>
        </w:rPr>
        <w:t>第一条</w:t>
      </w:r>
      <w:r>
        <w:rPr>
          <w:rFonts w:hint="eastAsia" w:ascii="仿宋" w:hAnsi="仿宋" w:eastAsia="仿宋"/>
          <w:bCs/>
          <w:sz w:val="32"/>
          <w:szCs w:val="32"/>
        </w:rPr>
        <w:t xml:space="preserve">  在投保</w:t>
      </w:r>
      <w:r>
        <w:rPr>
          <w:rFonts w:hint="eastAsia" w:ascii="仿宋" w:hAnsi="仿宋" w:eastAsia="仿宋"/>
          <w:sz w:val="32"/>
          <w:szCs w:val="32"/>
        </w:rPr>
        <w:t>中国人寿财产保险股份有限公司互联网专用</w:t>
      </w:r>
      <w:r>
        <w:rPr>
          <w:rFonts w:hint="eastAsia" w:ascii="仿宋" w:hAnsi="仿宋" w:eastAsia="仿宋"/>
          <w:bCs/>
          <w:sz w:val="32"/>
          <w:szCs w:val="32"/>
        </w:rPr>
        <w:t>意外伤害类保险（以下简称“主险”）的基础上，投保人可以投保本附加险。本附加险条款与主险条款相悖之处，以本附加险条款为准；未尽之处，以主险条款为准。主险效力终止，本附加险效力亦同时终止；主险无效，本附加险亦无效。凡涉及本附加险合同的约定，均应采用书面形式。</w:t>
      </w:r>
    </w:p>
    <w:p>
      <w:pPr>
        <w:pStyle w:val="3"/>
        <w:tabs>
          <w:tab w:val="left" w:pos="8280"/>
        </w:tabs>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 xml:space="preserve">第二条  </w:t>
      </w:r>
      <w:r>
        <w:rPr>
          <w:rFonts w:hint="eastAsia" w:ascii="仿宋" w:hAnsi="仿宋" w:eastAsia="仿宋"/>
          <w:sz w:val="32"/>
          <w:szCs w:val="32"/>
        </w:rPr>
        <w:t>除另有约定外，本附加险的被保险人年龄与对应投保的主险被保险人年龄一致，</w:t>
      </w:r>
      <w:r>
        <w:rPr>
          <w:rFonts w:hint="eastAsia" w:ascii="仿宋" w:hAnsi="仿宋" w:eastAsia="仿宋"/>
          <w:b/>
          <w:sz w:val="32"/>
          <w:szCs w:val="32"/>
        </w:rPr>
        <w:t>但不应超出年满6个月到80周岁（含）范围。</w:t>
      </w:r>
    </w:p>
    <w:p>
      <w:pPr>
        <w:pStyle w:val="3"/>
        <w:tabs>
          <w:tab w:val="left" w:pos="8280"/>
        </w:tabs>
        <w:spacing w:line="560" w:lineRule="exact"/>
        <w:jc w:val="center"/>
        <w:rPr>
          <w:rFonts w:ascii="仿宋" w:hAnsi="仿宋" w:eastAsia="仿宋"/>
          <w:b/>
          <w:bCs/>
          <w:sz w:val="32"/>
          <w:szCs w:val="32"/>
        </w:rPr>
      </w:pPr>
      <w:r>
        <w:rPr>
          <w:rFonts w:hint="eastAsia" w:ascii="仿宋" w:hAnsi="仿宋" w:eastAsia="仿宋"/>
          <w:b/>
          <w:bCs/>
          <w:sz w:val="32"/>
          <w:szCs w:val="32"/>
        </w:rPr>
        <w:t>保险责任</w:t>
      </w:r>
    </w:p>
    <w:p>
      <w:pPr>
        <w:pStyle w:val="3"/>
        <w:tabs>
          <w:tab w:val="left" w:pos="8280"/>
        </w:tabs>
        <w:snapToGrid w:val="0"/>
        <w:spacing w:line="560" w:lineRule="exact"/>
        <w:ind w:firstLine="643" w:firstLineChars="200"/>
        <w:rPr>
          <w:rFonts w:ascii="仿宋" w:hAnsi="仿宋" w:eastAsia="仿宋"/>
          <w:bCs/>
          <w:sz w:val="32"/>
          <w:szCs w:val="32"/>
        </w:rPr>
      </w:pPr>
      <w:r>
        <w:rPr>
          <w:rFonts w:hint="eastAsia" w:ascii="仿宋" w:hAnsi="仿宋" w:eastAsia="仿宋"/>
          <w:b/>
          <w:bCs/>
          <w:sz w:val="32"/>
          <w:szCs w:val="32"/>
        </w:rPr>
        <w:t xml:space="preserve">第三条  </w:t>
      </w:r>
      <w:r>
        <w:rPr>
          <w:rFonts w:hint="eastAsia" w:ascii="仿宋" w:hAnsi="仿宋" w:eastAsia="仿宋"/>
          <w:sz w:val="32"/>
          <w:szCs w:val="32"/>
        </w:rPr>
        <w:t>在保险期间内，被保险人因猝死而导致身故的，保险人按主险合同约定的身故保险金额给付身故保险金，对该被保险人的保险责任终止。</w:t>
      </w:r>
    </w:p>
    <w:p>
      <w:pPr>
        <w:pStyle w:val="3"/>
        <w:tabs>
          <w:tab w:val="left" w:pos="8280"/>
        </w:tabs>
        <w:spacing w:line="560" w:lineRule="exact"/>
        <w:jc w:val="center"/>
        <w:rPr>
          <w:rFonts w:ascii="仿宋" w:hAnsi="仿宋" w:eastAsia="仿宋"/>
          <w:b/>
          <w:bCs/>
          <w:spacing w:val="-6"/>
          <w:sz w:val="32"/>
          <w:szCs w:val="32"/>
        </w:rPr>
      </w:pPr>
      <w:r>
        <w:rPr>
          <w:rFonts w:hint="eastAsia" w:ascii="仿宋" w:hAnsi="仿宋" w:eastAsia="仿宋"/>
          <w:b/>
          <w:bCs/>
          <w:spacing w:val="-6"/>
          <w:sz w:val="32"/>
          <w:szCs w:val="32"/>
        </w:rPr>
        <w:t>责任免除</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第四条  因下列原因之一造成被保险人猝死的，保险人不承担给付保险金责任：</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（一）投保人、被保险人故意导致发病或发病后故意不及时就医的（被保险人为无民事行为能力人的除外）；</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（二）被保险人在保险期间开始前罹患的已知或应该知道的既往疾病及并发症；</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（三）慢性病及慢性病的急性发作，性传播疾病、牙齿治疗，预防性手术等非必须紧急治疗的手术，器官移植；</w:t>
      </w:r>
    </w:p>
    <w:p>
      <w:pPr>
        <w:spacing w:after="0"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（四）遗传性疾病，先天性畸形、变形或染色体异常；</w:t>
      </w:r>
    </w:p>
    <w:p>
      <w:pPr>
        <w:spacing w:after="0" w:line="560" w:lineRule="exact"/>
        <w:ind w:firstLine="643" w:firstLineChars="200"/>
        <w:jc w:val="both"/>
        <w:rPr>
          <w:rFonts w:ascii="仿宋" w:hAnsi="仿宋" w:eastAsia="仿宋"/>
          <w:b/>
          <w:bCs/>
          <w:sz w:val="32"/>
          <w:szCs w:val="32"/>
        </w:rPr>
      </w:pPr>
      <w:r>
        <w:rPr>
          <w:rFonts w:hint="eastAsia" w:ascii="仿宋" w:hAnsi="仿宋" w:eastAsia="仿宋"/>
          <w:b/>
          <w:bCs/>
          <w:sz w:val="32"/>
          <w:szCs w:val="32"/>
        </w:rPr>
        <w:t>（五）被保险人患精神和行为障碍疾病的（以世界卫生组织颁布的《疾病和有关健康问题的国际统计分类（ICD-10）》为准）；</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（六）被保险人分娩、流产、宫外孕、不孕不育治疗、人工受精、怀孕、堕胎、节育（含绝育）、产前产后检查及由以上原因引起的并发症；</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（七）诊查、检验、治疗或其他医疗行为导致的医疗意外事故；</w:t>
      </w:r>
    </w:p>
    <w:p>
      <w:pPr>
        <w:spacing w:after="0" w:line="560" w:lineRule="exact"/>
        <w:ind w:firstLine="643" w:firstLineChars="200"/>
        <w:jc w:val="both"/>
        <w:rPr>
          <w:rFonts w:ascii="仿宋" w:hAnsi="仿宋" w:eastAsia="仿宋"/>
          <w:b/>
          <w:sz w:val="32"/>
          <w:szCs w:val="32"/>
        </w:rPr>
      </w:pPr>
      <w:r>
        <w:rPr>
          <w:rFonts w:hint="eastAsia" w:ascii="仿宋" w:hAnsi="仿宋" w:eastAsia="仿宋"/>
          <w:b/>
          <w:sz w:val="32"/>
          <w:szCs w:val="32"/>
        </w:rPr>
        <w:t>（八）食物中毒，药物过敏；</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（九）被保险人未遵医嘱，私自服用、涂用、注射药物的；</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（十）任何生物、化学、原子能武器，原子能或核能装置所造成的爆炸、灼伤、污染或辐射；</w:t>
      </w:r>
    </w:p>
    <w:p>
      <w:pPr>
        <w:spacing w:after="0" w:line="560" w:lineRule="exact"/>
        <w:ind w:firstLine="643" w:firstLineChars="200"/>
        <w:jc w:val="both"/>
        <w:rPr>
          <w:rFonts w:ascii="仿宋" w:hAnsi="仿宋" w:eastAsia="仿宋"/>
          <w:b/>
          <w:sz w:val="32"/>
          <w:szCs w:val="32"/>
        </w:rPr>
      </w:pPr>
      <w:r>
        <w:rPr>
          <w:rFonts w:hint="eastAsia" w:ascii="仿宋" w:hAnsi="仿宋" w:eastAsia="仿宋"/>
          <w:b/>
          <w:sz w:val="32"/>
          <w:szCs w:val="32"/>
        </w:rPr>
        <w:t>（十一）战争、军事冲突、暴乱或武装叛乱、恐怖袭击。</w:t>
      </w:r>
    </w:p>
    <w:p>
      <w:pPr>
        <w:pStyle w:val="3"/>
        <w:tabs>
          <w:tab w:val="left" w:pos="8280"/>
        </w:tabs>
        <w:adjustRightInd w:val="0"/>
        <w:spacing w:line="560" w:lineRule="exact"/>
        <w:ind w:firstLine="643" w:firstLineChars="200"/>
        <w:rPr>
          <w:rFonts w:ascii="仿宋" w:hAnsi="仿宋" w:eastAsia="仿宋"/>
          <w:b/>
          <w:bCs/>
          <w:sz w:val="32"/>
          <w:szCs w:val="32"/>
        </w:rPr>
      </w:pPr>
      <w:r>
        <w:rPr>
          <w:rFonts w:hint="eastAsia" w:ascii="仿宋" w:hAnsi="仿宋" w:eastAsia="仿宋"/>
          <w:b/>
          <w:bCs/>
          <w:sz w:val="32"/>
          <w:szCs w:val="32"/>
        </w:rPr>
        <w:t>第五条  被保险人在下列情形之一下猝死而身故的，保险人不承担给付保险金的责任：</w:t>
      </w:r>
    </w:p>
    <w:p>
      <w:pPr>
        <w:spacing w:after="0" w:line="560" w:lineRule="exact"/>
        <w:ind w:firstLine="643" w:firstLineChars="200"/>
        <w:jc w:val="both"/>
        <w:rPr>
          <w:rFonts w:ascii="仿宋" w:hAnsi="仿宋" w:eastAsia="仿宋"/>
          <w:b/>
          <w:sz w:val="32"/>
          <w:szCs w:val="32"/>
        </w:rPr>
      </w:pPr>
      <w:r>
        <w:rPr>
          <w:rFonts w:hint="eastAsia" w:ascii="仿宋" w:hAnsi="仿宋" w:eastAsia="仿宋"/>
          <w:b/>
          <w:sz w:val="32"/>
          <w:szCs w:val="32"/>
        </w:rPr>
        <w:t>（一）被保险人受酒精、毒品、管制药物的影响期间；</w:t>
      </w:r>
    </w:p>
    <w:p>
      <w:pPr>
        <w:spacing w:after="0" w:line="560" w:lineRule="exact"/>
        <w:ind w:firstLine="643" w:firstLineChars="200"/>
        <w:jc w:val="both"/>
        <w:rPr>
          <w:rFonts w:ascii="仿宋" w:hAnsi="仿宋" w:eastAsia="仿宋"/>
          <w:b/>
          <w:sz w:val="32"/>
          <w:szCs w:val="32"/>
        </w:rPr>
      </w:pPr>
      <w:r>
        <w:rPr>
          <w:rFonts w:hint="eastAsia" w:ascii="仿宋" w:hAnsi="仿宋" w:eastAsia="仿宋"/>
          <w:b/>
          <w:sz w:val="32"/>
          <w:szCs w:val="32"/>
        </w:rPr>
        <w:t xml:space="preserve">（二）被保险人患有艾滋病（AIDS）或感染艾滋病病毒（HIV）期间; </w:t>
      </w:r>
    </w:p>
    <w:p>
      <w:pPr>
        <w:spacing w:after="0" w:line="560" w:lineRule="exact"/>
        <w:ind w:firstLine="643" w:firstLineChars="200"/>
        <w:jc w:val="both"/>
        <w:rPr>
          <w:rFonts w:ascii="仿宋" w:hAnsi="仿宋" w:eastAsia="仿宋"/>
          <w:b/>
          <w:sz w:val="32"/>
          <w:szCs w:val="32"/>
        </w:rPr>
      </w:pPr>
      <w:r>
        <w:rPr>
          <w:rFonts w:hint="eastAsia" w:ascii="仿宋" w:hAnsi="仿宋" w:eastAsia="仿宋"/>
          <w:b/>
          <w:sz w:val="32"/>
          <w:szCs w:val="32"/>
        </w:rPr>
        <w:t>（三）被保险人从事犯罪活动期间或被依法采取刑事强制措施或服刑期间；</w:t>
      </w:r>
    </w:p>
    <w:p>
      <w:pPr>
        <w:spacing w:after="0" w:line="560" w:lineRule="exact"/>
        <w:ind w:firstLine="643" w:firstLineChars="200"/>
        <w:jc w:val="both"/>
        <w:rPr>
          <w:rFonts w:ascii="仿宋" w:hAnsi="仿宋" w:eastAsia="仿宋"/>
          <w:b/>
          <w:sz w:val="32"/>
          <w:szCs w:val="32"/>
        </w:rPr>
      </w:pPr>
      <w:r>
        <w:rPr>
          <w:rFonts w:hint="eastAsia" w:ascii="仿宋" w:hAnsi="仿宋" w:eastAsia="仿宋"/>
          <w:b/>
          <w:sz w:val="32"/>
          <w:szCs w:val="32"/>
        </w:rPr>
        <w:t>（四）被保险人从事或参与恐怖主义活动、邪教组织活动；</w:t>
      </w:r>
    </w:p>
    <w:p>
      <w:pPr>
        <w:spacing w:after="0" w:line="560" w:lineRule="exact"/>
        <w:ind w:firstLine="643" w:firstLineChars="200"/>
        <w:jc w:val="both"/>
        <w:rPr>
          <w:rFonts w:ascii="仿宋" w:hAnsi="仿宋" w:eastAsia="仿宋"/>
          <w:b/>
          <w:sz w:val="32"/>
          <w:szCs w:val="32"/>
        </w:rPr>
      </w:pPr>
      <w:r>
        <w:rPr>
          <w:rFonts w:hint="eastAsia" w:ascii="仿宋" w:hAnsi="仿宋" w:eastAsia="仿宋"/>
          <w:b/>
          <w:sz w:val="32"/>
          <w:szCs w:val="32"/>
        </w:rPr>
        <w:t>（五）主险条款列明的其他责任免除情形。</w:t>
      </w:r>
    </w:p>
    <w:p>
      <w:pPr>
        <w:pStyle w:val="3"/>
        <w:tabs>
          <w:tab w:val="left" w:pos="8280"/>
        </w:tabs>
        <w:spacing w:line="560" w:lineRule="exact"/>
        <w:jc w:val="center"/>
        <w:rPr>
          <w:rFonts w:ascii="仿宋" w:hAnsi="仿宋" w:eastAsia="仿宋"/>
          <w:b/>
          <w:bCs/>
          <w:sz w:val="32"/>
          <w:szCs w:val="32"/>
        </w:rPr>
      </w:pPr>
      <w:r>
        <w:rPr>
          <w:rFonts w:hint="eastAsia" w:ascii="仿宋" w:hAnsi="仿宋" w:eastAsia="仿宋"/>
          <w:b/>
          <w:bCs/>
          <w:sz w:val="32"/>
          <w:szCs w:val="32"/>
        </w:rPr>
        <w:t>保险金的申请</w:t>
      </w:r>
    </w:p>
    <w:p>
      <w:pPr>
        <w:pStyle w:val="3"/>
        <w:tabs>
          <w:tab w:val="left" w:pos="8280"/>
        </w:tabs>
        <w:spacing w:line="560" w:lineRule="exact"/>
        <w:ind w:firstLine="619" w:firstLineChars="200"/>
        <w:rPr>
          <w:rFonts w:ascii="仿宋" w:hAnsi="仿宋" w:eastAsia="仿宋"/>
          <w:sz w:val="32"/>
          <w:szCs w:val="32"/>
        </w:rPr>
      </w:pPr>
      <w:r>
        <w:rPr>
          <w:rFonts w:hint="eastAsia" w:ascii="仿宋" w:hAnsi="仿宋" w:eastAsia="仿宋"/>
          <w:b/>
          <w:bCs/>
          <w:spacing w:val="-6"/>
          <w:sz w:val="32"/>
          <w:szCs w:val="32"/>
        </w:rPr>
        <w:t xml:space="preserve">第六条  </w:t>
      </w:r>
      <w:r>
        <w:rPr>
          <w:rFonts w:hint="eastAsia" w:ascii="仿宋" w:hAnsi="仿宋" w:eastAsia="仿宋"/>
          <w:bCs/>
          <w:sz w:val="32"/>
          <w:szCs w:val="32"/>
        </w:rPr>
        <w:t>保险金申请人向保险人申请给付保险金时，除提交主险条款载明的各项证明和材料外，还应提交二级以上（含二级）医院或者保险人指定或认可的医疗机构或公安司法部门出具的“猝死”死亡证明。</w:t>
      </w:r>
    </w:p>
    <w:p>
      <w:pPr>
        <w:pStyle w:val="3"/>
        <w:tabs>
          <w:tab w:val="left" w:pos="8280"/>
        </w:tabs>
        <w:spacing w:line="560" w:lineRule="exact"/>
        <w:jc w:val="center"/>
        <w:rPr>
          <w:rFonts w:ascii="仿宋" w:hAnsi="仿宋" w:eastAsia="仿宋"/>
          <w:b/>
          <w:bCs/>
          <w:sz w:val="32"/>
          <w:szCs w:val="32"/>
        </w:rPr>
      </w:pPr>
      <w:r>
        <w:rPr>
          <w:rFonts w:hint="eastAsia" w:ascii="仿宋" w:hAnsi="仿宋" w:eastAsia="仿宋"/>
          <w:b/>
          <w:bCs/>
          <w:sz w:val="32"/>
          <w:szCs w:val="32"/>
        </w:rPr>
        <w:t>释义</w:t>
      </w:r>
    </w:p>
    <w:p>
      <w:pPr>
        <w:pStyle w:val="3"/>
        <w:tabs>
          <w:tab w:val="left" w:pos="8280"/>
        </w:tabs>
        <w:spacing w:line="560" w:lineRule="exact"/>
        <w:ind w:firstLine="643" w:firstLineChars="200"/>
        <w:rPr>
          <w:rFonts w:ascii="仿宋" w:hAnsi="仿宋" w:eastAsia="仿宋"/>
          <w:bCs/>
          <w:sz w:val="32"/>
          <w:szCs w:val="32"/>
        </w:rPr>
      </w:pPr>
      <w:r>
        <w:rPr>
          <w:rFonts w:hint="eastAsia" w:ascii="仿宋" w:hAnsi="仿宋" w:eastAsia="仿宋"/>
          <w:b/>
          <w:bCs/>
          <w:sz w:val="32"/>
          <w:szCs w:val="32"/>
        </w:rPr>
        <w:t>猝死：</w:t>
      </w:r>
      <w:r>
        <w:rPr>
          <w:rFonts w:hint="eastAsia" w:ascii="仿宋" w:hAnsi="仿宋" w:eastAsia="仿宋"/>
          <w:bCs/>
          <w:sz w:val="32"/>
          <w:szCs w:val="32"/>
        </w:rPr>
        <w:t>是指表面健康的人在没有任何诱发因素的前提下因潜在疾病、机能障碍或其他原因在出现症状后6小时内发生的非暴力性突然死亡。猝死的认定以医院的诊断和公安司法部门的鉴定为准。</w:t>
      </w:r>
    </w:p>
    <w:p>
      <w:pPr>
        <w:pStyle w:val="3"/>
        <w:tabs>
          <w:tab w:val="left" w:pos="8280"/>
        </w:tabs>
        <w:spacing w:line="560" w:lineRule="exact"/>
        <w:ind w:firstLine="643" w:firstLineChars="200"/>
        <w:rPr>
          <w:rFonts w:ascii="仿宋" w:hAnsi="仿宋" w:eastAsia="仿宋"/>
          <w:sz w:val="32"/>
          <w:szCs w:val="32"/>
        </w:rPr>
      </w:pPr>
      <w:r>
        <w:rPr>
          <w:rFonts w:hint="eastAsia" w:ascii="仿宋" w:hAnsi="仿宋" w:eastAsia="仿宋"/>
          <w:b/>
          <w:sz w:val="32"/>
          <w:szCs w:val="32"/>
        </w:rPr>
        <w:t>周岁：</w:t>
      </w:r>
      <w:r>
        <w:rPr>
          <w:rFonts w:hint="eastAsia" w:ascii="仿宋" w:hAnsi="仿宋" w:eastAsia="仿宋"/>
          <w:sz w:val="32"/>
          <w:szCs w:val="32"/>
        </w:rPr>
        <w:t>指按有效身份证件中记载的出生日期计算的年龄，自出生之日起为零周岁，每经过一年增加一岁，不足一年的不计算。</w:t>
      </w:r>
    </w:p>
    <w:p>
      <w:pPr>
        <w:pStyle w:val="3"/>
        <w:tabs>
          <w:tab w:val="left" w:pos="8280"/>
        </w:tabs>
        <w:spacing w:line="560" w:lineRule="exact"/>
        <w:ind w:firstLine="643" w:firstLineChars="200"/>
        <w:rPr>
          <w:rFonts w:ascii="仿宋" w:hAnsi="仿宋" w:eastAsia="仿宋"/>
          <w:sz w:val="32"/>
          <w:szCs w:val="32"/>
        </w:rPr>
      </w:pPr>
      <w:r>
        <w:rPr>
          <w:rFonts w:hint="eastAsia" w:ascii="仿宋" w:hAnsi="仿宋" w:eastAsia="仿宋"/>
          <w:b/>
          <w:bCs/>
          <w:sz w:val="32"/>
          <w:szCs w:val="32"/>
        </w:rPr>
        <w:t>感染艾滋病病毒或患艾滋病：艾滋病病毒</w:t>
      </w:r>
      <w:r>
        <w:rPr>
          <w:rFonts w:hint="eastAsia" w:ascii="仿宋" w:hAnsi="仿宋" w:eastAsia="仿宋"/>
          <w:sz w:val="32"/>
          <w:szCs w:val="32"/>
        </w:rPr>
        <w:t>指人类免疫缺陷病毒，英文缩写为HIV。</w:t>
      </w:r>
      <w:r>
        <w:rPr>
          <w:rFonts w:hint="eastAsia" w:ascii="仿宋" w:hAnsi="仿宋" w:eastAsia="仿宋"/>
          <w:b/>
          <w:bCs/>
          <w:sz w:val="32"/>
          <w:szCs w:val="32"/>
        </w:rPr>
        <w:t>艾滋病</w:t>
      </w:r>
      <w:r>
        <w:rPr>
          <w:rFonts w:hint="eastAsia" w:ascii="仿宋" w:hAnsi="仿宋" w:eastAsia="仿宋"/>
          <w:sz w:val="32"/>
          <w:szCs w:val="32"/>
        </w:rPr>
        <w:t>指人类免疫缺陷病毒引起的获得性免疫缺陷综合症，英文缩写为AIDS。</w:t>
      </w:r>
    </w:p>
    <w:p>
      <w:pPr>
        <w:pStyle w:val="3"/>
        <w:tabs>
          <w:tab w:val="left" w:pos="8280"/>
        </w:tabs>
        <w:spacing w:line="560" w:lineRule="exact"/>
        <w:ind w:firstLine="640" w:firstLineChars="200"/>
        <w:rPr>
          <w:rFonts w:ascii="仿宋" w:hAnsi="仿宋" w:eastAsia="仿宋"/>
          <w:sz w:val="32"/>
          <w:szCs w:val="32"/>
        </w:rPr>
      </w:pPr>
      <w:r>
        <w:rPr>
          <w:rFonts w:hint="eastAsia" w:ascii="仿宋" w:hAnsi="仿宋" w:eastAsia="仿宋"/>
          <w:sz w:val="32"/>
          <w:szCs w:val="32"/>
        </w:rPr>
        <w:t>在人体血液或其它样本中检测到艾滋病病毒或其抗体呈阳性，没有出现临床症状或体征的，为感染艾滋病病毒；如果同时出现了明显临床症状或体征的，为患艾滋病。</w:t>
      </w:r>
    </w:p>
    <w:p>
      <w:pPr>
        <w:pStyle w:val="3"/>
        <w:tabs>
          <w:tab w:val="left" w:pos="8280"/>
        </w:tabs>
        <w:spacing w:line="560" w:lineRule="exact"/>
        <w:ind w:firstLine="643" w:firstLineChars="200"/>
        <w:rPr>
          <w:rFonts w:ascii="仿宋" w:hAnsi="仿宋" w:eastAsia="仿宋"/>
          <w:sz w:val="32"/>
          <w:szCs w:val="32"/>
        </w:rPr>
      </w:pPr>
      <w:r>
        <w:rPr>
          <w:rFonts w:hint="eastAsia" w:ascii="仿宋" w:hAnsi="仿宋" w:eastAsia="仿宋"/>
          <w:b/>
          <w:bCs/>
          <w:sz w:val="32"/>
          <w:szCs w:val="32"/>
        </w:rPr>
        <w:t>遗传性疾病：</w:t>
      </w:r>
      <w:r>
        <w:rPr>
          <w:rFonts w:hint="eastAsia" w:ascii="仿宋" w:hAnsi="仿宋" w:eastAsia="仿宋"/>
          <w:sz w:val="32"/>
          <w:szCs w:val="32"/>
        </w:rPr>
        <w:t>指生殖细胞或受精卵的遗传物质（染色体和基因）发生突变（或畸变）所引起的疾病，通常具有由亲代传至后代的垂直传递的特征。</w:t>
      </w:r>
    </w:p>
    <w:p>
      <w:pPr>
        <w:pStyle w:val="3"/>
        <w:tabs>
          <w:tab w:val="left" w:pos="8280"/>
        </w:tabs>
        <w:spacing w:line="560" w:lineRule="exact"/>
        <w:ind w:firstLine="643" w:firstLineChars="200"/>
        <w:rPr>
          <w:rFonts w:ascii="仿宋" w:hAnsi="仿宋" w:eastAsia="仿宋"/>
          <w:sz w:val="32"/>
          <w:szCs w:val="32"/>
        </w:rPr>
      </w:pPr>
      <w:r>
        <w:rPr>
          <w:rFonts w:hint="eastAsia" w:ascii="仿宋" w:hAnsi="仿宋" w:eastAsia="仿宋"/>
          <w:b/>
          <w:bCs/>
          <w:sz w:val="32"/>
          <w:szCs w:val="32"/>
        </w:rPr>
        <w:t>先天性畸形、变形或染色体异常：</w:t>
      </w:r>
      <w:r>
        <w:rPr>
          <w:rFonts w:hint="eastAsia" w:ascii="仿宋" w:hAnsi="仿宋" w:eastAsia="仿宋"/>
          <w:sz w:val="32"/>
          <w:szCs w:val="32"/>
        </w:rPr>
        <w:t>指被保险人出生时就具有的畸形、变形或染色体异常。先天性畸形、变形和染色体异常依照世界卫生组织《疾病和有关健康问题的国际统计分类》（ICD-10）确定。</w:t>
      </w:r>
    </w:p>
    <w:sectPr>
      <w:footerReference r:id="rId3" w:type="default"/>
      <w:pgSz w:w="11906" w:h="16838"/>
      <w:pgMar w:top="1440" w:right="1797" w:bottom="1440" w:left="1797"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4CE0"/>
    <w:rsid w:val="000135C6"/>
    <w:rsid w:val="00015905"/>
    <w:rsid w:val="00017378"/>
    <w:rsid w:val="00037E92"/>
    <w:rsid w:val="00053316"/>
    <w:rsid w:val="00056237"/>
    <w:rsid w:val="000729D4"/>
    <w:rsid w:val="000908B1"/>
    <w:rsid w:val="000A0618"/>
    <w:rsid w:val="000A6E38"/>
    <w:rsid w:val="000B1706"/>
    <w:rsid w:val="000B1C70"/>
    <w:rsid w:val="000C1858"/>
    <w:rsid w:val="000D4716"/>
    <w:rsid w:val="000D5F63"/>
    <w:rsid w:val="000D6031"/>
    <w:rsid w:val="000F1788"/>
    <w:rsid w:val="00112CD6"/>
    <w:rsid w:val="001469DE"/>
    <w:rsid w:val="00164E17"/>
    <w:rsid w:val="00166DCD"/>
    <w:rsid w:val="0018407C"/>
    <w:rsid w:val="00184B89"/>
    <w:rsid w:val="001C2B53"/>
    <w:rsid w:val="001C563A"/>
    <w:rsid w:val="001E0213"/>
    <w:rsid w:val="001E23EE"/>
    <w:rsid w:val="001F4239"/>
    <w:rsid w:val="00201B87"/>
    <w:rsid w:val="002149EF"/>
    <w:rsid w:val="00224F33"/>
    <w:rsid w:val="00246B4E"/>
    <w:rsid w:val="00262995"/>
    <w:rsid w:val="00265264"/>
    <w:rsid w:val="002749A7"/>
    <w:rsid w:val="00274BAB"/>
    <w:rsid w:val="002A0676"/>
    <w:rsid w:val="002B32A9"/>
    <w:rsid w:val="002D3848"/>
    <w:rsid w:val="002E2ED7"/>
    <w:rsid w:val="002F6284"/>
    <w:rsid w:val="003036E1"/>
    <w:rsid w:val="00306612"/>
    <w:rsid w:val="003126F9"/>
    <w:rsid w:val="00343936"/>
    <w:rsid w:val="00367D93"/>
    <w:rsid w:val="0037078E"/>
    <w:rsid w:val="00374CB1"/>
    <w:rsid w:val="00374E34"/>
    <w:rsid w:val="00387461"/>
    <w:rsid w:val="003901CB"/>
    <w:rsid w:val="003919D2"/>
    <w:rsid w:val="003A7799"/>
    <w:rsid w:val="003D2627"/>
    <w:rsid w:val="003D7E1A"/>
    <w:rsid w:val="003F2CBC"/>
    <w:rsid w:val="00403DDF"/>
    <w:rsid w:val="004212C0"/>
    <w:rsid w:val="0042648B"/>
    <w:rsid w:val="00446423"/>
    <w:rsid w:val="004509B2"/>
    <w:rsid w:val="004545E3"/>
    <w:rsid w:val="00461E99"/>
    <w:rsid w:val="004730F0"/>
    <w:rsid w:val="004863CC"/>
    <w:rsid w:val="00492DB1"/>
    <w:rsid w:val="004A3003"/>
    <w:rsid w:val="004A51B7"/>
    <w:rsid w:val="004C63BA"/>
    <w:rsid w:val="004D0259"/>
    <w:rsid w:val="004E12F3"/>
    <w:rsid w:val="004F606A"/>
    <w:rsid w:val="005032E5"/>
    <w:rsid w:val="00506A59"/>
    <w:rsid w:val="00520EA1"/>
    <w:rsid w:val="00530FC8"/>
    <w:rsid w:val="00541A26"/>
    <w:rsid w:val="00542397"/>
    <w:rsid w:val="0057741C"/>
    <w:rsid w:val="00586DB3"/>
    <w:rsid w:val="00594C8E"/>
    <w:rsid w:val="005A5CB1"/>
    <w:rsid w:val="005A7E0A"/>
    <w:rsid w:val="005C7E05"/>
    <w:rsid w:val="005D3C27"/>
    <w:rsid w:val="005D47EB"/>
    <w:rsid w:val="005D4CE0"/>
    <w:rsid w:val="005E5C2F"/>
    <w:rsid w:val="005F4448"/>
    <w:rsid w:val="00631BA4"/>
    <w:rsid w:val="0063508E"/>
    <w:rsid w:val="00647CBB"/>
    <w:rsid w:val="006549EB"/>
    <w:rsid w:val="0065743A"/>
    <w:rsid w:val="00662B6F"/>
    <w:rsid w:val="00690701"/>
    <w:rsid w:val="00697FA7"/>
    <w:rsid w:val="006B1E1A"/>
    <w:rsid w:val="006C2501"/>
    <w:rsid w:val="00701D77"/>
    <w:rsid w:val="00703430"/>
    <w:rsid w:val="007059B6"/>
    <w:rsid w:val="00707765"/>
    <w:rsid w:val="007138DD"/>
    <w:rsid w:val="00737954"/>
    <w:rsid w:val="00741E88"/>
    <w:rsid w:val="00773CFD"/>
    <w:rsid w:val="00785508"/>
    <w:rsid w:val="007A2CFB"/>
    <w:rsid w:val="007C182C"/>
    <w:rsid w:val="007C6F19"/>
    <w:rsid w:val="007D1FD2"/>
    <w:rsid w:val="007D6ABF"/>
    <w:rsid w:val="007E4B32"/>
    <w:rsid w:val="00802196"/>
    <w:rsid w:val="00822AFB"/>
    <w:rsid w:val="008330A6"/>
    <w:rsid w:val="0083374A"/>
    <w:rsid w:val="008374E3"/>
    <w:rsid w:val="00844369"/>
    <w:rsid w:val="008556C4"/>
    <w:rsid w:val="00864BF3"/>
    <w:rsid w:val="0087377D"/>
    <w:rsid w:val="008749EF"/>
    <w:rsid w:val="00880C7B"/>
    <w:rsid w:val="00890E61"/>
    <w:rsid w:val="00892693"/>
    <w:rsid w:val="008960E6"/>
    <w:rsid w:val="008A683C"/>
    <w:rsid w:val="008C3B0E"/>
    <w:rsid w:val="008D3BEA"/>
    <w:rsid w:val="008F1459"/>
    <w:rsid w:val="009106B2"/>
    <w:rsid w:val="00917ADC"/>
    <w:rsid w:val="00922276"/>
    <w:rsid w:val="00933C96"/>
    <w:rsid w:val="00944331"/>
    <w:rsid w:val="00953272"/>
    <w:rsid w:val="00954733"/>
    <w:rsid w:val="00966145"/>
    <w:rsid w:val="009729D8"/>
    <w:rsid w:val="00975639"/>
    <w:rsid w:val="00976039"/>
    <w:rsid w:val="00991A50"/>
    <w:rsid w:val="00993E64"/>
    <w:rsid w:val="00995742"/>
    <w:rsid w:val="009A2AC2"/>
    <w:rsid w:val="009D0122"/>
    <w:rsid w:val="009D0338"/>
    <w:rsid w:val="009F2212"/>
    <w:rsid w:val="00A064A2"/>
    <w:rsid w:val="00A338BE"/>
    <w:rsid w:val="00A34975"/>
    <w:rsid w:val="00A35FB5"/>
    <w:rsid w:val="00A47B66"/>
    <w:rsid w:val="00A47EA2"/>
    <w:rsid w:val="00A8201F"/>
    <w:rsid w:val="00AA09EE"/>
    <w:rsid w:val="00AA6486"/>
    <w:rsid w:val="00AB0EE7"/>
    <w:rsid w:val="00AF0597"/>
    <w:rsid w:val="00AF5AD1"/>
    <w:rsid w:val="00B07635"/>
    <w:rsid w:val="00B1781C"/>
    <w:rsid w:val="00B21093"/>
    <w:rsid w:val="00B358C8"/>
    <w:rsid w:val="00B41B61"/>
    <w:rsid w:val="00B470CA"/>
    <w:rsid w:val="00B70770"/>
    <w:rsid w:val="00B904DB"/>
    <w:rsid w:val="00B925DB"/>
    <w:rsid w:val="00BA5F74"/>
    <w:rsid w:val="00BB0E81"/>
    <w:rsid w:val="00BB62C8"/>
    <w:rsid w:val="00BF523A"/>
    <w:rsid w:val="00C1201A"/>
    <w:rsid w:val="00C172D6"/>
    <w:rsid w:val="00C2292A"/>
    <w:rsid w:val="00C24A60"/>
    <w:rsid w:val="00C4407E"/>
    <w:rsid w:val="00C8305D"/>
    <w:rsid w:val="00C845F8"/>
    <w:rsid w:val="00CB0659"/>
    <w:rsid w:val="00CB55B6"/>
    <w:rsid w:val="00CB74E4"/>
    <w:rsid w:val="00CF5393"/>
    <w:rsid w:val="00D02DDD"/>
    <w:rsid w:val="00D06270"/>
    <w:rsid w:val="00D17C10"/>
    <w:rsid w:val="00D406AB"/>
    <w:rsid w:val="00D51382"/>
    <w:rsid w:val="00DA3FF3"/>
    <w:rsid w:val="00DA678A"/>
    <w:rsid w:val="00DA7AB4"/>
    <w:rsid w:val="00DB230B"/>
    <w:rsid w:val="00DC2926"/>
    <w:rsid w:val="00DD54E3"/>
    <w:rsid w:val="00DE49F7"/>
    <w:rsid w:val="00DF3EDC"/>
    <w:rsid w:val="00E03788"/>
    <w:rsid w:val="00E6227E"/>
    <w:rsid w:val="00E7177B"/>
    <w:rsid w:val="00E7187E"/>
    <w:rsid w:val="00E84D36"/>
    <w:rsid w:val="00E863ED"/>
    <w:rsid w:val="00EA60DF"/>
    <w:rsid w:val="00EE1879"/>
    <w:rsid w:val="00EE7FA1"/>
    <w:rsid w:val="00F176A2"/>
    <w:rsid w:val="00F27E02"/>
    <w:rsid w:val="00F41B2F"/>
    <w:rsid w:val="00F5715D"/>
    <w:rsid w:val="00F61D2B"/>
    <w:rsid w:val="00F63A1F"/>
    <w:rsid w:val="00F70908"/>
    <w:rsid w:val="00F80E3A"/>
    <w:rsid w:val="00F81C2E"/>
    <w:rsid w:val="00F851C2"/>
    <w:rsid w:val="00F86BC7"/>
    <w:rsid w:val="00F93BBF"/>
    <w:rsid w:val="00F95507"/>
    <w:rsid w:val="00FA0196"/>
    <w:rsid w:val="00FA2C22"/>
    <w:rsid w:val="00FA5A0D"/>
    <w:rsid w:val="00FC6F02"/>
    <w:rsid w:val="00FD17AA"/>
    <w:rsid w:val="00FD552F"/>
    <w:rsid w:val="00FE71F9"/>
    <w:rsid w:val="00FF18CC"/>
    <w:rsid w:val="04EA08A0"/>
    <w:rsid w:val="07D41268"/>
    <w:rsid w:val="0A1F7B28"/>
    <w:rsid w:val="11250330"/>
    <w:rsid w:val="236145F2"/>
    <w:rsid w:val="24164041"/>
    <w:rsid w:val="27097897"/>
    <w:rsid w:val="2A174F9B"/>
    <w:rsid w:val="2D5F1580"/>
    <w:rsid w:val="32994C8F"/>
    <w:rsid w:val="332D5503"/>
    <w:rsid w:val="34EE76E2"/>
    <w:rsid w:val="3A751FF8"/>
    <w:rsid w:val="3B705713"/>
    <w:rsid w:val="3C1A012A"/>
    <w:rsid w:val="3C6C5FD4"/>
    <w:rsid w:val="3D793569"/>
    <w:rsid w:val="3F572AFA"/>
    <w:rsid w:val="417A14FB"/>
    <w:rsid w:val="4191369F"/>
    <w:rsid w:val="4326283B"/>
    <w:rsid w:val="440356A1"/>
    <w:rsid w:val="44C04B5B"/>
    <w:rsid w:val="46064E72"/>
    <w:rsid w:val="46847CBF"/>
    <w:rsid w:val="4767407A"/>
    <w:rsid w:val="479534C6"/>
    <w:rsid w:val="49115D6F"/>
    <w:rsid w:val="4ABF25B2"/>
    <w:rsid w:val="4AD43451"/>
    <w:rsid w:val="4EC6244D"/>
    <w:rsid w:val="4ECE4C98"/>
    <w:rsid w:val="534B451B"/>
    <w:rsid w:val="55BA3C34"/>
    <w:rsid w:val="5D2972E4"/>
    <w:rsid w:val="61161E58"/>
    <w:rsid w:val="653F1EA7"/>
    <w:rsid w:val="6F2317E3"/>
    <w:rsid w:val="709B394E"/>
    <w:rsid w:val="72A33D23"/>
    <w:rsid w:val="738C3CA1"/>
    <w:rsid w:val="76070B31"/>
    <w:rsid w:val="77850FA2"/>
    <w:rsid w:val="780A11FC"/>
    <w:rsid w:val="78C728B3"/>
    <w:rsid w:val="7EEF0A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unhideWhenUsed/>
    <w:qFormat/>
    <w:uiPriority w:val="99"/>
  </w:style>
  <w:style w:type="paragraph" w:styleId="3">
    <w:name w:val="Body Text Indent"/>
    <w:basedOn w:val="1"/>
    <w:link w:val="18"/>
    <w:semiHidden/>
    <w:qFormat/>
    <w:uiPriority w:val="0"/>
    <w:pPr>
      <w:widowControl w:val="0"/>
      <w:adjustRightInd/>
      <w:snapToGrid/>
      <w:spacing w:after="0" w:line="360" w:lineRule="atLeast"/>
      <w:jc w:val="both"/>
    </w:pPr>
    <w:rPr>
      <w:rFonts w:ascii="Times New Roman" w:hAnsi="Times New Roman" w:eastAsia="宋体"/>
      <w:sz w:val="28"/>
      <w:szCs w:val="20"/>
    </w:rPr>
  </w:style>
  <w:style w:type="paragraph" w:styleId="4">
    <w:name w:val="Plain Text"/>
    <w:basedOn w:val="1"/>
    <w:link w:val="16"/>
    <w:uiPriority w:val="0"/>
    <w:pPr>
      <w:widowControl w:val="0"/>
      <w:adjustRightInd/>
      <w:snapToGrid/>
      <w:spacing w:after="0"/>
      <w:jc w:val="both"/>
    </w:pPr>
    <w:rPr>
      <w:rFonts w:ascii="宋体" w:hAnsi="Courier New" w:eastAsia="宋体"/>
      <w:sz w:val="20"/>
      <w:szCs w:val="21"/>
    </w:rPr>
  </w:style>
  <w:style w:type="paragraph" w:styleId="5">
    <w:name w:val="Body Text Indent 2"/>
    <w:basedOn w:val="1"/>
    <w:link w:val="17"/>
    <w:unhideWhenUsed/>
    <w:qFormat/>
    <w:uiPriority w:val="99"/>
    <w:pPr>
      <w:spacing w:after="120" w:line="480" w:lineRule="auto"/>
      <w:ind w:left="420" w:leftChars="200"/>
    </w:pPr>
    <w:rPr>
      <w:szCs w:val="20"/>
    </w:rPr>
  </w:style>
  <w:style w:type="paragraph" w:styleId="6">
    <w:name w:val="Balloon Text"/>
    <w:basedOn w:val="1"/>
    <w:link w:val="19"/>
    <w:unhideWhenUsed/>
    <w:uiPriority w:val="99"/>
    <w:pPr>
      <w:spacing w:after="0"/>
    </w:pPr>
    <w:rPr>
      <w:sz w:val="18"/>
      <w:szCs w:val="18"/>
    </w:rPr>
  </w:style>
  <w:style w:type="paragraph" w:styleId="7">
    <w:name w:val="footer"/>
    <w:basedOn w:val="1"/>
    <w:link w:val="14"/>
    <w:unhideWhenUsed/>
    <w:uiPriority w:val="99"/>
    <w:pPr>
      <w:tabs>
        <w:tab w:val="center" w:pos="4153"/>
        <w:tab w:val="right" w:pos="8306"/>
      </w:tabs>
    </w:pPr>
    <w:rPr>
      <w:rFonts w:ascii="Calibri" w:hAnsi="Calibri" w:eastAsia="宋体"/>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jc w:val="center"/>
    </w:pPr>
    <w:rPr>
      <w:rFonts w:ascii="Calibri" w:hAnsi="Calibri" w:eastAsia="宋体"/>
      <w:sz w:val="18"/>
      <w:szCs w:val="18"/>
    </w:rPr>
  </w:style>
  <w:style w:type="paragraph" w:styleId="9">
    <w:name w:val="Normal (Web)"/>
    <w:basedOn w:val="1"/>
    <w:qFormat/>
    <w:uiPriority w:val="0"/>
    <w:pPr>
      <w:adjustRightInd/>
      <w:snapToGrid/>
      <w:spacing w:before="100" w:beforeAutospacing="1" w:after="100" w:afterAutospacing="1"/>
    </w:pPr>
    <w:rPr>
      <w:rFonts w:ascii="宋体" w:hAnsi="宋体" w:eastAsia="宋体" w:cs="宋体"/>
      <w:color w:val="000000"/>
      <w:sz w:val="24"/>
      <w:szCs w:val="24"/>
    </w:rPr>
  </w:style>
  <w:style w:type="paragraph" w:styleId="10">
    <w:name w:val="annotation subject"/>
    <w:basedOn w:val="2"/>
    <w:next w:val="2"/>
    <w:link w:val="24"/>
    <w:semiHidden/>
    <w:unhideWhenUsed/>
    <w:qFormat/>
    <w:uiPriority w:val="99"/>
    <w:rPr>
      <w:b/>
      <w:bCs/>
    </w:rPr>
  </w:style>
  <w:style w:type="character" w:styleId="13">
    <w:name w:val="annotation reference"/>
    <w:semiHidden/>
    <w:unhideWhenUsed/>
    <w:qFormat/>
    <w:uiPriority w:val="99"/>
    <w:rPr>
      <w:sz w:val="21"/>
      <w:szCs w:val="21"/>
    </w:rPr>
  </w:style>
  <w:style w:type="character" w:customStyle="1" w:styleId="14">
    <w:name w:val="页脚 Char"/>
    <w:link w:val="7"/>
    <w:uiPriority w:val="99"/>
    <w:rPr>
      <w:sz w:val="18"/>
      <w:szCs w:val="18"/>
    </w:rPr>
  </w:style>
  <w:style w:type="character" w:customStyle="1" w:styleId="15">
    <w:name w:val="页眉 Char"/>
    <w:link w:val="8"/>
    <w:semiHidden/>
    <w:uiPriority w:val="99"/>
    <w:rPr>
      <w:sz w:val="18"/>
      <w:szCs w:val="18"/>
    </w:rPr>
  </w:style>
  <w:style w:type="character" w:customStyle="1" w:styleId="16">
    <w:name w:val="纯文本 Char"/>
    <w:link w:val="4"/>
    <w:uiPriority w:val="0"/>
    <w:rPr>
      <w:rFonts w:ascii="宋体" w:hAnsi="Courier New" w:eastAsia="宋体" w:cs="Courier New"/>
      <w:szCs w:val="21"/>
    </w:rPr>
  </w:style>
  <w:style w:type="character" w:customStyle="1" w:styleId="17">
    <w:name w:val="正文文本缩进 2 Char"/>
    <w:link w:val="5"/>
    <w:semiHidden/>
    <w:uiPriority w:val="99"/>
    <w:rPr>
      <w:rFonts w:ascii="Tahoma" w:hAnsi="Tahoma" w:eastAsia="微软雅黑"/>
      <w:kern w:val="0"/>
      <w:sz w:val="22"/>
    </w:rPr>
  </w:style>
  <w:style w:type="character" w:customStyle="1" w:styleId="18">
    <w:name w:val="正文文本缩进 Char"/>
    <w:link w:val="3"/>
    <w:semiHidden/>
    <w:qFormat/>
    <w:uiPriority w:val="0"/>
    <w:rPr>
      <w:rFonts w:ascii="Times New Roman" w:hAnsi="Times New Roman" w:eastAsia="宋体" w:cs="Times New Roman"/>
      <w:sz w:val="28"/>
      <w:szCs w:val="20"/>
    </w:rPr>
  </w:style>
  <w:style w:type="character" w:customStyle="1" w:styleId="19">
    <w:name w:val="批注框文本 Char"/>
    <w:link w:val="6"/>
    <w:semiHidden/>
    <w:qFormat/>
    <w:uiPriority w:val="99"/>
    <w:rPr>
      <w:rFonts w:ascii="Tahoma" w:hAnsi="Tahoma" w:eastAsia="微软雅黑"/>
      <w:kern w:val="0"/>
      <w:sz w:val="18"/>
      <w:szCs w:val="18"/>
    </w:rPr>
  </w:style>
  <w:style w:type="paragraph" w:styleId="20">
    <w:name w:val="List Paragraph"/>
    <w:basedOn w:val="1"/>
    <w:qFormat/>
    <w:uiPriority w:val="34"/>
    <w:pPr>
      <w:ind w:firstLine="420" w:firstLineChars="200"/>
    </w:pPr>
  </w:style>
  <w:style w:type="paragraph" w:customStyle="1" w:styleId="21">
    <w:name w:val="条款正文"/>
    <w:basedOn w:val="1"/>
    <w:qFormat/>
    <w:uiPriority w:val="0"/>
    <w:pPr>
      <w:widowControl w:val="0"/>
      <w:spacing w:after="0"/>
      <w:ind w:left="840" w:leftChars="400" w:firstLine="420" w:firstLineChars="200"/>
      <w:jc w:val="both"/>
    </w:pPr>
    <w:rPr>
      <w:rFonts w:ascii="Times New Roman" w:hAnsi="Times New Roman" w:eastAsia="宋体"/>
      <w:kern w:val="2"/>
      <w:sz w:val="21"/>
      <w:szCs w:val="20"/>
    </w:rPr>
  </w:style>
  <w:style w:type="paragraph" w:customStyle="1" w:styleId="22">
    <w:name w:val="条款标题"/>
    <w:basedOn w:val="21"/>
    <w:qFormat/>
    <w:uiPriority w:val="0"/>
    <w:pPr>
      <w:tabs>
        <w:tab w:val="left" w:pos="840"/>
      </w:tabs>
      <w:ind w:left="0" w:leftChars="0" w:firstLine="0" w:firstLineChars="0"/>
    </w:pPr>
    <w:rPr>
      <w:b/>
    </w:rPr>
  </w:style>
  <w:style w:type="character" w:customStyle="1" w:styleId="23">
    <w:name w:val="批注文字 Char"/>
    <w:link w:val="2"/>
    <w:qFormat/>
    <w:uiPriority w:val="99"/>
    <w:rPr>
      <w:rFonts w:ascii="Tahoma" w:hAnsi="Tahoma" w:eastAsia="微软雅黑"/>
      <w:sz w:val="22"/>
      <w:szCs w:val="22"/>
    </w:rPr>
  </w:style>
  <w:style w:type="character" w:customStyle="1" w:styleId="24">
    <w:name w:val="批注主题 Char"/>
    <w:basedOn w:val="23"/>
    <w:link w:val="10"/>
    <w:qFormat/>
    <w:uiPriority w:val="0"/>
    <w:rPr>
      <w:rFonts w:ascii="Tahoma" w:hAnsi="Tahoma" w:eastAsia="微软雅黑"/>
      <w:sz w:val="22"/>
      <w:szCs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 life</Company>
  <Pages>4</Pages>
  <Words>227</Words>
  <Characters>1298</Characters>
  <Lines>10</Lines>
  <Paragraphs>3</Paragraphs>
  <TotalTime>16</TotalTime>
  <ScaleCrop>false</ScaleCrop>
  <LinksUpToDate>false</LinksUpToDate>
  <CharactersWithSpaces>1522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2020-09-03T08:25:00Z</dcterms:created>
  <dc:creator>China life</dc:creator>
  <cp:lastModifiedBy>Administrator</cp:lastModifiedBy>
  <dcterms:modified xsi:type="dcterms:W3CDTF">2022-01-27T12:05:36Z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