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bookmarkStart w:id="0" w:name="_GoBack"/>
      <w:bookmarkEnd w:id="0"/>
      <w:r>
        <w:rPr>
          <w:rFonts w:hint="eastAsia" w:ascii="宋体" w:hAnsi="宋体" w:eastAsia="宋体" w:cs="宋体"/>
          <w:b/>
          <w:bCs/>
          <w:sz w:val="44"/>
          <w:szCs w:val="44"/>
        </w:rPr>
        <w:t>中国人寿财产保险股份有限公司</w:t>
      </w:r>
    </w:p>
    <w:p>
      <w:pPr>
        <w:jc w:val="center"/>
      </w:pPr>
      <w:r>
        <w:rPr>
          <w:rFonts w:hint="eastAsia" w:ascii="宋体" w:hAnsi="宋体" w:eastAsia="宋体" w:cs="宋体"/>
          <w:b/>
          <w:bCs/>
          <w:sz w:val="44"/>
          <w:szCs w:val="44"/>
        </w:rPr>
        <w:t>意外伤害保险（互联网专属）附加交通工具意外伤害增加限额给付保险条款</w:t>
      </w:r>
    </w:p>
    <w:p>
      <w:pPr>
        <w:bidi w:val="0"/>
        <w:ind w:left="0" w:right="0" w:firstLine="0" w:firstLineChars="0"/>
        <w:jc w:val="center"/>
        <w:rPr>
          <w:rFonts w:hint="eastAsia" w:ascii="宋体" w:hAnsi="宋体" w:eastAsia="宋体" w:cs="宋体"/>
          <w:b/>
          <w:sz w:val="32"/>
          <w:lang w:eastAsia="zh-CN"/>
        </w:rPr>
      </w:pPr>
      <w:r>
        <w:rPr>
          <w:rFonts w:hint="eastAsia" w:ascii="宋体" w:hAnsi="宋体" w:eastAsia="宋体" w:cs="宋体"/>
          <w:b/>
          <w:sz w:val="32"/>
          <w:lang w:eastAsia="zh-CN"/>
        </w:rPr>
        <w:t>（注册编号：C00010832322022011476273）</w:t>
      </w:r>
    </w:p>
    <w:p>
      <w:pPr>
        <w:bidi w:val="0"/>
        <w:ind w:firstLine="964" w:firstLineChars="0"/>
        <w:rPr>
          <w:rFonts w:hint="eastAsia" w:ascii="宋体" w:hAnsi="宋体" w:eastAsia="宋体" w:cs="宋体"/>
          <w:b/>
          <w:sz w:val="32"/>
          <w:lang w:eastAsia="zh-CN"/>
        </w:rPr>
      </w:pPr>
    </w:p>
    <w:p>
      <w:pPr>
        <w:pStyle w:val="14"/>
        <w:snapToGrid w:val="0"/>
        <w:spacing w:line="560" w:lineRule="exact"/>
        <w:jc w:val="center"/>
        <w:rPr>
          <w:rFonts w:ascii="仿宋" w:hAnsi="仿宋" w:eastAsia="仿宋" w:cs="仿宋"/>
          <w:b/>
          <w:bCs/>
          <w:sz w:val="32"/>
          <w:szCs w:val="32"/>
        </w:rPr>
      </w:pPr>
      <w:r>
        <w:rPr>
          <w:rFonts w:hint="eastAsia" w:ascii="仿宋" w:hAnsi="仿宋" w:eastAsia="仿宋" w:cs="仿宋"/>
          <w:b/>
          <w:bCs/>
          <w:sz w:val="32"/>
          <w:szCs w:val="32"/>
        </w:rPr>
        <w:t>总则</w:t>
      </w:r>
    </w:p>
    <w:p>
      <w:pPr>
        <w:pStyle w:val="7"/>
        <w:spacing w:before="0" w:beforeAutospacing="0" w:after="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w:t>
      </w:r>
      <w:r>
        <w:rPr>
          <w:rFonts w:hint="eastAsia" w:ascii="仿宋" w:hAnsi="仿宋" w:eastAsia="仿宋"/>
          <w:bCs/>
          <w:sz w:val="32"/>
          <w:szCs w:val="32"/>
        </w:rPr>
        <w:t>在投保</w:t>
      </w:r>
      <w:r>
        <w:rPr>
          <w:rFonts w:ascii="仿宋" w:hAnsi="仿宋" w:eastAsia="仿宋"/>
          <w:sz w:val="32"/>
          <w:szCs w:val="32"/>
        </w:rPr>
        <w:t>中国人寿财产保险股份有限公司</w:t>
      </w:r>
      <w:r>
        <w:rPr>
          <w:rFonts w:hint="eastAsia" w:ascii="仿宋" w:hAnsi="仿宋" w:eastAsia="仿宋"/>
          <w:sz w:val="32"/>
          <w:szCs w:val="32"/>
        </w:rPr>
        <w:t>互联网专属</w:t>
      </w:r>
      <w:r>
        <w:rPr>
          <w:rFonts w:hint="eastAsia" w:ascii="仿宋" w:hAnsi="仿宋" w:eastAsia="仿宋"/>
          <w:bCs/>
          <w:sz w:val="32"/>
          <w:szCs w:val="32"/>
        </w:rPr>
        <w:t>意外伤害类保险（以下简称“主险”）的基础上，投保人可以投保本附加险。本附加险条款与主险条款相悖之处，以本附加险条款为准；未尽之处，以主险条款为准。主险效力终止，本附加险效力亦同时终止；主险无效，本附加险亦无效。</w:t>
      </w:r>
      <w:r>
        <w:rPr>
          <w:rFonts w:hint="eastAsia" w:ascii="仿宋" w:hAnsi="仿宋" w:eastAsia="仿宋"/>
          <w:sz w:val="32"/>
          <w:szCs w:val="32"/>
        </w:rPr>
        <w:t>凡涉及本附加险的约定，均应采用书面形式。</w:t>
      </w:r>
    </w:p>
    <w:p>
      <w:pPr>
        <w:pStyle w:val="15"/>
        <w:spacing w:line="560" w:lineRule="exact"/>
        <w:jc w:val="center"/>
        <w:rPr>
          <w:rFonts w:ascii="仿宋" w:hAnsi="仿宋" w:eastAsia="仿宋" w:cs="仿宋"/>
          <w:b/>
          <w:sz w:val="32"/>
          <w:szCs w:val="32"/>
        </w:rPr>
      </w:pPr>
      <w:r>
        <w:rPr>
          <w:rFonts w:hint="eastAsia" w:ascii="仿宋" w:hAnsi="仿宋" w:eastAsia="仿宋" w:cs="仿宋"/>
          <w:b/>
          <w:sz w:val="32"/>
          <w:szCs w:val="32"/>
        </w:rPr>
        <w:t>保险责任</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第二条  </w:t>
      </w:r>
      <w:r>
        <w:rPr>
          <w:rFonts w:hint="eastAsia" w:ascii="仿宋" w:hAnsi="仿宋" w:eastAsia="仿宋" w:cs="仿宋"/>
          <w:sz w:val="32"/>
          <w:szCs w:val="32"/>
        </w:rPr>
        <w:t>在保险期间内，被保险人持有效客票乘坐从事合法客运的飞机、火车（含地铁、轻轨）、汽车（含电车、有轨电车、出租车）、船舶四类公共交通工具时，在交通工具内因交通事故导致身故或伤残的，在主险保险金（如有）之外，保险人在本附加险约定的保险金额内给付本附加险保险金：</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（一）被保险人自交通事故发生之日起一百八十日内因该事故身故的，</w:t>
      </w:r>
      <w:r>
        <w:rPr>
          <w:rFonts w:hint="eastAsia" w:ascii="仿宋" w:hAnsi="仿宋" w:eastAsia="仿宋" w:cs="仿宋"/>
          <w:b/>
          <w:sz w:val="32"/>
          <w:szCs w:val="32"/>
        </w:rPr>
        <w:t>保险人按本保险合同中载明的相应交通工具所对应的保险金额给付身故保险金</w:t>
      </w:r>
      <w:r>
        <w:rPr>
          <w:rFonts w:hint="eastAsia" w:ascii="仿宋" w:hAnsi="仿宋" w:eastAsia="仿宋" w:cs="仿宋"/>
          <w:sz w:val="32"/>
          <w:szCs w:val="32"/>
        </w:rPr>
        <w:t>，</w:t>
      </w:r>
      <w:r>
        <w:rPr>
          <w:rFonts w:hint="eastAsia" w:ascii="仿宋" w:hAnsi="仿宋" w:eastAsia="仿宋" w:cs="仿宋"/>
          <w:b/>
          <w:bCs/>
          <w:sz w:val="32"/>
          <w:szCs w:val="32"/>
        </w:rPr>
        <w:t>对该被保险人的保险责任终止。</w:t>
      </w:r>
    </w:p>
    <w:p>
      <w:pPr>
        <w:pStyle w:val="16"/>
        <w:adjustRightInd/>
        <w:snapToGrid/>
        <w:spacing w:line="560" w:lineRule="exact"/>
        <w:ind w:left="0" w:leftChars="0" w:firstLine="640"/>
        <w:rPr>
          <w:rFonts w:ascii="仿宋" w:hAnsi="仿宋" w:eastAsia="仿宋" w:cs="仿宋"/>
          <w:sz w:val="32"/>
          <w:szCs w:val="32"/>
        </w:rPr>
      </w:pPr>
      <w:r>
        <w:rPr>
          <w:rFonts w:hint="eastAsia" w:ascii="仿宋" w:hAnsi="仿宋" w:eastAsia="仿宋" w:cs="仿宋"/>
          <w:sz w:val="32"/>
          <w:szCs w:val="32"/>
        </w:rPr>
        <w:t>被保险人因该交通事故下落不明，后经人民法院宣告死亡的，</w:t>
      </w:r>
      <w:r>
        <w:rPr>
          <w:rFonts w:hint="eastAsia" w:ascii="仿宋" w:hAnsi="仿宋" w:eastAsia="仿宋" w:cs="仿宋"/>
          <w:b/>
          <w:sz w:val="32"/>
          <w:szCs w:val="32"/>
        </w:rPr>
        <w:t>保险人按本保险合同中载明的相应交通工具所对应的保险金额给付身故保险金。</w:t>
      </w:r>
      <w:r>
        <w:rPr>
          <w:rFonts w:hint="eastAsia" w:ascii="仿宋" w:hAnsi="仿宋" w:eastAsia="仿宋" w:cs="仿宋"/>
          <w:b/>
          <w:bCs/>
          <w:sz w:val="32"/>
          <w:szCs w:val="32"/>
        </w:rPr>
        <w:t>但若被保险人被宣告死亡后生还的，保险金受领人应于知道或应当知道被保险人生还后三十日内退还保险人给付的身故保险金</w:t>
      </w:r>
      <w:r>
        <w:rPr>
          <w:rFonts w:hint="eastAsia" w:ascii="仿宋" w:hAnsi="仿宋" w:eastAsia="仿宋" w:cs="仿宋"/>
          <w:sz w:val="32"/>
          <w:szCs w:val="32"/>
        </w:rPr>
        <w:t>。</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被保险人身故前保险人已给付本条第（二）款约定的伤残保险金的，身故保险金为保险金额扣除已给付伤残保险金后的保险金额。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（二）被保险人自交通事故发生之日起一百八十日内因该事故造成《人身保险伤残评定标准》（保监发〔2014〕6号，标准编号JR/T 0083-2013，以下简称“《伤残评定标准》”）所列伤残程度之一者，</w:t>
      </w:r>
      <w:r>
        <w:rPr>
          <w:rFonts w:hint="eastAsia" w:ascii="仿宋" w:hAnsi="仿宋" w:eastAsia="仿宋" w:cs="仿宋"/>
          <w:b/>
          <w:sz w:val="32"/>
          <w:szCs w:val="32"/>
        </w:rPr>
        <w:t>保险人按该标准所列伤残程度对应的保险金给付比例乘以本保险合同中载明的相应交通工具所对应的保险金额给付伤残保险金。</w:t>
      </w:r>
      <w:r>
        <w:rPr>
          <w:rFonts w:hint="eastAsia" w:ascii="仿宋" w:hAnsi="仿宋" w:eastAsia="仿宋" w:cs="仿宋"/>
          <w:b/>
          <w:bCs/>
          <w:sz w:val="32"/>
          <w:szCs w:val="32"/>
        </w:rPr>
        <w:t>如第一百八十日治疗仍未结束，按第一百八十日的身体情况进行伤残鉴定，并据此给付伤残保险金。</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被保险人如在本次交通事故之前已有伤残，保险人按合并后的伤残程度在《伤残评定标准》中所对应的给付比例给付伤残保险金，但应扣除原有伤残程度在《伤残评定标准》所对应的伤残保险金。</w:t>
      </w:r>
    </w:p>
    <w:p>
      <w:pPr>
        <w:pStyle w:val="17"/>
        <w:spacing w:line="560" w:lineRule="exact"/>
        <w:ind w:firstLine="643" w:firstLineChars="200"/>
        <w:rPr>
          <w:rFonts w:hint="default" w:ascii="仿宋" w:hAnsi="仿宋" w:eastAsia="仿宋" w:cs="仿宋"/>
          <w:b/>
          <w:sz w:val="32"/>
          <w:szCs w:val="32"/>
        </w:rPr>
      </w:pPr>
      <w:r>
        <w:rPr>
          <w:rFonts w:ascii="仿宋" w:hAnsi="仿宋" w:eastAsia="仿宋" w:cs="仿宋"/>
          <w:b/>
          <w:sz w:val="32"/>
          <w:szCs w:val="32"/>
        </w:rPr>
        <w:t>（三）保险人对同一被保险人乘坐同一类别交通工具所负的给付上述各项保险金的责任，以该类别交通工具所对应的保险金额为限。单次或累计给付的保险金达到该类交通工具对应的保险金额时，保险人对该被保险人乘坐该类别交通工具的保险责任终止。</w:t>
      </w:r>
    </w:p>
    <w:p>
      <w:pPr>
        <w:pStyle w:val="3"/>
        <w:spacing w:line="560" w:lineRule="exact"/>
        <w:jc w:val="center"/>
        <w:rPr>
          <w:rFonts w:ascii="仿宋" w:hAnsi="仿宋" w:eastAsia="仿宋" w:cs="仿宋"/>
          <w:b/>
          <w:bCs/>
          <w:color w:val="FF0000"/>
          <w:sz w:val="32"/>
          <w:szCs w:val="32"/>
        </w:rPr>
      </w:pPr>
      <w:r>
        <w:rPr>
          <w:rFonts w:hint="eastAsia" w:ascii="仿宋" w:hAnsi="仿宋" w:eastAsia="仿宋" w:cs="仿宋"/>
          <w:b/>
          <w:bCs/>
          <w:sz w:val="32"/>
          <w:szCs w:val="32"/>
        </w:rPr>
        <w:t>保险金额</w:t>
      </w:r>
    </w:p>
    <w:p>
      <w:pPr>
        <w:pStyle w:val="7"/>
        <w:spacing w:before="0" w:beforeAutospacing="0" w:after="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每一被保险人项下飞机、火车（含地铁、轻轨）、汽车（含电车、有轨电车、出租车）、船舶四类交通工具各自对应的保险金额由投保人、保险人双方约定，并在保险合同中载明。</w:t>
      </w:r>
    </w:p>
    <w:p>
      <w:pPr>
        <w:spacing w:line="560" w:lineRule="exact"/>
        <w:rPr>
          <w:rFonts w:ascii="宋体" w:hAnsi="宋体"/>
          <w:szCs w:val="21"/>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26A9"/>
    <w:rsid w:val="000A26A9"/>
    <w:rsid w:val="000C6E7A"/>
    <w:rsid w:val="00144B75"/>
    <w:rsid w:val="00581A03"/>
    <w:rsid w:val="00620024"/>
    <w:rsid w:val="009C5967"/>
    <w:rsid w:val="00AC52D4"/>
    <w:rsid w:val="00E86A25"/>
    <w:rsid w:val="00EB53B8"/>
    <w:rsid w:val="09E505C8"/>
    <w:rsid w:val="0CE105FD"/>
    <w:rsid w:val="0DF65CC8"/>
    <w:rsid w:val="0E8534A4"/>
    <w:rsid w:val="11763CD3"/>
    <w:rsid w:val="11C54A41"/>
    <w:rsid w:val="16DA045E"/>
    <w:rsid w:val="188E14F0"/>
    <w:rsid w:val="1BC23791"/>
    <w:rsid w:val="1CD140A5"/>
    <w:rsid w:val="1F540583"/>
    <w:rsid w:val="239439E3"/>
    <w:rsid w:val="29B93A22"/>
    <w:rsid w:val="300E52E6"/>
    <w:rsid w:val="306724C2"/>
    <w:rsid w:val="36AC5816"/>
    <w:rsid w:val="39F5177C"/>
    <w:rsid w:val="3BCE1FC6"/>
    <w:rsid w:val="3C4B7EE9"/>
    <w:rsid w:val="40890A29"/>
    <w:rsid w:val="447D7C0B"/>
    <w:rsid w:val="48BB1F74"/>
    <w:rsid w:val="49F15EC9"/>
    <w:rsid w:val="4A41369C"/>
    <w:rsid w:val="500B44AE"/>
    <w:rsid w:val="58DB77CE"/>
    <w:rsid w:val="5D513126"/>
    <w:rsid w:val="5D8141FB"/>
    <w:rsid w:val="5D9C768D"/>
    <w:rsid w:val="64BC2CCA"/>
    <w:rsid w:val="68283260"/>
    <w:rsid w:val="6A807B2E"/>
    <w:rsid w:val="71AC3FEE"/>
    <w:rsid w:val="79AF3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unhideWhenUsed/>
    <w:qFormat/>
    <w:uiPriority w:val="0"/>
    <w:pPr>
      <w:spacing w:line="360" w:lineRule="atLeast"/>
    </w:pPr>
    <w:rPr>
      <w:rFonts w:ascii="Times New Roman" w:hAnsi="Times New Roman"/>
      <w:kern w:val="0"/>
      <w:sz w:val="28"/>
      <w:szCs w:val="20"/>
    </w:rPr>
  </w:style>
  <w:style w:type="paragraph" w:styleId="4">
    <w:name w:val="Balloon Text"/>
    <w:basedOn w:val="1"/>
    <w:link w:val="18"/>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qFormat/>
    <w:uiPriority w:val="22"/>
    <w:rPr>
      <w:b/>
      <w:bCs/>
    </w:rPr>
  </w:style>
  <w:style w:type="character" w:styleId="11">
    <w:name w:val="FollowedHyperlink"/>
    <w:basedOn w:val="9"/>
    <w:qFormat/>
    <w:uiPriority w:val="0"/>
    <w:rPr>
      <w:color w:val="202020"/>
      <w:sz w:val="12"/>
      <w:szCs w:val="12"/>
      <w:u w:val="none"/>
    </w:rPr>
  </w:style>
  <w:style w:type="character" w:styleId="12">
    <w:name w:val="Hyperlink"/>
    <w:basedOn w:val="9"/>
    <w:qFormat/>
    <w:uiPriority w:val="0"/>
    <w:rPr>
      <w:color w:val="202020"/>
      <w:sz w:val="12"/>
      <w:szCs w:val="12"/>
      <w:u w:val="none"/>
    </w:rPr>
  </w:style>
  <w:style w:type="character" w:styleId="13">
    <w:name w:val="annotation reference"/>
    <w:basedOn w:val="9"/>
    <w:qFormat/>
    <w:uiPriority w:val="0"/>
    <w:rPr>
      <w:sz w:val="21"/>
      <w:szCs w:val="21"/>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p15"/>
    <w:basedOn w:val="1"/>
    <w:qFormat/>
    <w:uiPriority w:val="0"/>
    <w:pPr>
      <w:widowControl/>
    </w:pPr>
    <w:rPr>
      <w:rFonts w:ascii="Times New Roman" w:hAnsi="Times New Roman"/>
      <w:kern w:val="0"/>
      <w:sz w:val="20"/>
      <w:szCs w:val="20"/>
    </w:rPr>
  </w:style>
  <w:style w:type="paragraph" w:customStyle="1" w:styleId="16">
    <w:name w:val="条款正文"/>
    <w:basedOn w:val="1"/>
    <w:qFormat/>
    <w:uiPriority w:val="0"/>
    <w:pPr>
      <w:adjustRightInd w:val="0"/>
      <w:snapToGrid w:val="0"/>
      <w:ind w:left="840" w:leftChars="400" w:firstLine="420" w:firstLineChars="200"/>
    </w:pPr>
  </w:style>
  <w:style w:type="paragraph" w:customStyle="1" w:styleId="17">
    <w:name w:val="正文1"/>
    <w:qFormat/>
    <w:uiPriority w:val="0"/>
    <w:pPr>
      <w:widowControl w:val="0"/>
      <w:jc w:val="both"/>
    </w:pPr>
    <w:rPr>
      <w:rFonts w:hint="eastAsia" w:ascii="Calibri" w:hAnsi="Calibri" w:eastAsia="宋体" w:cs="Times New Roman"/>
      <w:kern w:val="2"/>
      <w:sz w:val="21"/>
      <w:lang w:val="en-US" w:eastAsia="zh-CN" w:bidi="ar-SA"/>
    </w:rPr>
  </w:style>
  <w:style w:type="character" w:customStyle="1" w:styleId="18">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163</Words>
  <Characters>930</Characters>
  <Lines>7</Lines>
  <Paragraphs>2</Paragraphs>
  <TotalTime>58</TotalTime>
  <ScaleCrop>false</ScaleCrop>
  <LinksUpToDate>false</LinksUpToDate>
  <CharactersWithSpaces>1091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wei_z</dc:creator>
  <cp:lastModifiedBy>Administrator</cp:lastModifiedBy>
  <dcterms:modified xsi:type="dcterms:W3CDTF">2022-01-14T12:11:07Z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477567F2E532424DA3F9805AC9A2DE8D</vt:lpwstr>
  </property>
</Properties>
</file>